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F946D" w14:textId="77777777" w:rsidR="00063374" w:rsidRPr="00063374" w:rsidRDefault="00063374" w:rsidP="00063374"/>
    <w:p w14:paraId="042E05CC" w14:textId="77777777" w:rsidR="00063374" w:rsidRPr="00063374" w:rsidRDefault="00063374" w:rsidP="00063374"/>
    <w:p w14:paraId="74A121AC" w14:textId="77777777" w:rsidR="00063374" w:rsidRPr="00063374" w:rsidRDefault="00063374" w:rsidP="00063374"/>
    <w:p w14:paraId="04BDFA49" w14:textId="77777777" w:rsidR="00063374" w:rsidRPr="00E25DC0" w:rsidRDefault="00063374" w:rsidP="00063374"/>
    <w:p w14:paraId="07376F8E" w14:textId="77777777" w:rsidR="00063374" w:rsidRPr="00063374" w:rsidRDefault="00063374" w:rsidP="00063374"/>
    <w:p w14:paraId="74BF546D" w14:textId="77777777" w:rsidR="00063374" w:rsidRPr="00063374" w:rsidRDefault="00063374" w:rsidP="00063374"/>
    <w:p w14:paraId="6B16E27D" w14:textId="50ED3802" w:rsidR="00063374" w:rsidRPr="00063374" w:rsidRDefault="00063374" w:rsidP="00063374">
      <w:pPr>
        <w:jc w:val="center"/>
        <w:rPr>
          <w:sz w:val="36"/>
          <w:szCs w:val="36"/>
        </w:rPr>
      </w:pPr>
      <w:r w:rsidRPr="00063374">
        <w:rPr>
          <w:sz w:val="36"/>
          <w:szCs w:val="36"/>
        </w:rPr>
        <w:t>AFTALE VEDRØRENDE RETTIGHED TIL</w:t>
      </w:r>
    </w:p>
    <w:p w14:paraId="67FBD037" w14:textId="77777777" w:rsidR="00063374" w:rsidRPr="00063374" w:rsidRDefault="00063374" w:rsidP="00063374">
      <w:pPr>
        <w:jc w:val="center"/>
        <w:rPr>
          <w:sz w:val="36"/>
          <w:szCs w:val="36"/>
        </w:rPr>
      </w:pPr>
      <w:r w:rsidRPr="00063374">
        <w:rPr>
          <w:sz w:val="36"/>
          <w:szCs w:val="36"/>
        </w:rPr>
        <w:t>POWER MARKET SIMULATOR</w:t>
      </w:r>
    </w:p>
    <w:p w14:paraId="426FC318" w14:textId="77777777" w:rsidR="00063374" w:rsidRPr="00063374" w:rsidRDefault="00063374" w:rsidP="00063374">
      <w:pPr>
        <w:jc w:val="center"/>
        <w:rPr>
          <w:sz w:val="36"/>
          <w:szCs w:val="36"/>
        </w:rPr>
      </w:pPr>
      <w:r w:rsidRPr="00063374">
        <w:rPr>
          <w:sz w:val="36"/>
          <w:szCs w:val="36"/>
        </w:rPr>
        <w:t>(to parter)</w:t>
      </w:r>
    </w:p>
    <w:p w14:paraId="380F9C82" w14:textId="77777777" w:rsidR="00063374" w:rsidRPr="00063374" w:rsidRDefault="00063374" w:rsidP="00063374"/>
    <w:p w14:paraId="49F40975" w14:textId="77777777" w:rsidR="00063374" w:rsidRPr="00063374" w:rsidRDefault="00063374" w:rsidP="00063374"/>
    <w:p w14:paraId="321BAC5D" w14:textId="77777777" w:rsidR="00063374" w:rsidRPr="00063374" w:rsidRDefault="00063374" w:rsidP="00063374">
      <w:pPr>
        <w:ind w:left="1304"/>
      </w:pPr>
      <w:r w:rsidRPr="00063374">
        <w:t>Mellem</w:t>
      </w:r>
    </w:p>
    <w:p w14:paraId="6AB043F9" w14:textId="77777777" w:rsidR="00063374" w:rsidRPr="00063374" w:rsidRDefault="00063374" w:rsidP="00063374">
      <w:pPr>
        <w:ind w:left="1304"/>
      </w:pPr>
    </w:p>
    <w:p w14:paraId="072C9FA5" w14:textId="77777777" w:rsidR="00063374" w:rsidRPr="00063374" w:rsidRDefault="00063374" w:rsidP="00063374">
      <w:pPr>
        <w:ind w:left="2608"/>
        <w:rPr>
          <w:b/>
          <w:bCs/>
        </w:rPr>
      </w:pPr>
      <w:r w:rsidRPr="00063374">
        <w:rPr>
          <w:b/>
          <w:bCs/>
        </w:rPr>
        <w:t>Strategirummet ApS</w:t>
      </w:r>
    </w:p>
    <w:p w14:paraId="55F53DE7" w14:textId="77777777" w:rsidR="00063374" w:rsidRPr="00063374" w:rsidRDefault="00063374" w:rsidP="00063374">
      <w:pPr>
        <w:ind w:left="2608"/>
        <w:rPr>
          <w:b/>
          <w:bCs/>
        </w:rPr>
      </w:pPr>
      <w:r w:rsidRPr="00063374">
        <w:rPr>
          <w:b/>
          <w:bCs/>
        </w:rPr>
        <w:t>Kongensgade 94</w:t>
      </w:r>
    </w:p>
    <w:p w14:paraId="3C54B344" w14:textId="77777777" w:rsidR="00063374" w:rsidRPr="00063374" w:rsidRDefault="00063374" w:rsidP="00063374">
      <w:pPr>
        <w:ind w:left="2608"/>
        <w:rPr>
          <w:b/>
          <w:bCs/>
        </w:rPr>
      </w:pPr>
      <w:r w:rsidRPr="00063374">
        <w:rPr>
          <w:b/>
          <w:bCs/>
        </w:rPr>
        <w:t>7000 Fredericia</w:t>
      </w:r>
    </w:p>
    <w:p w14:paraId="186E0435" w14:textId="77777777" w:rsidR="00063374" w:rsidRPr="00063374" w:rsidRDefault="00063374" w:rsidP="00063374">
      <w:pPr>
        <w:ind w:left="2608"/>
      </w:pPr>
      <w:r w:rsidRPr="00063374">
        <w:rPr>
          <w:b/>
          <w:bCs/>
        </w:rPr>
        <w:t>CVR-nr. 30564944</w:t>
      </w:r>
    </w:p>
    <w:p w14:paraId="4FA42A30" w14:textId="77777777" w:rsidR="00063374" w:rsidRPr="00063374" w:rsidRDefault="00063374" w:rsidP="00063374">
      <w:pPr>
        <w:ind w:left="1304"/>
      </w:pPr>
      <w:r w:rsidRPr="00063374">
        <w:t>(Herefter Ejer) og</w:t>
      </w:r>
    </w:p>
    <w:p w14:paraId="67F35178" w14:textId="77777777" w:rsidR="00063374" w:rsidRPr="00063374" w:rsidRDefault="00063374" w:rsidP="00063374">
      <w:pPr>
        <w:ind w:left="1304" w:firstLine="1304"/>
        <w:rPr>
          <w:b/>
          <w:bCs/>
        </w:rPr>
      </w:pPr>
      <w:r w:rsidRPr="00063374">
        <w:rPr>
          <w:b/>
          <w:bCs/>
        </w:rPr>
        <w:t>NN</w:t>
      </w:r>
    </w:p>
    <w:p w14:paraId="7C896738" w14:textId="77777777" w:rsidR="00063374" w:rsidRPr="00063374" w:rsidRDefault="00063374" w:rsidP="00063374">
      <w:pPr>
        <w:ind w:left="1304"/>
      </w:pPr>
      <w:r w:rsidRPr="00063374">
        <w:t>(Herefter Virksomheden)</w:t>
      </w:r>
    </w:p>
    <w:p w14:paraId="3E49CE7F" w14:textId="77777777" w:rsidR="00063374" w:rsidRPr="00063374" w:rsidRDefault="00063374" w:rsidP="00063374">
      <w:pPr>
        <w:ind w:left="1304"/>
      </w:pPr>
    </w:p>
    <w:p w14:paraId="3083C16B" w14:textId="77777777" w:rsidR="00063374" w:rsidRPr="00063374" w:rsidRDefault="00063374" w:rsidP="00063374">
      <w:pPr>
        <w:ind w:left="1304"/>
      </w:pPr>
      <w:r w:rsidRPr="00063374">
        <w:t>(Ejer og Virksomheden benævnes også hver for sig som "Part" og tilsammen "Parterne")</w:t>
      </w:r>
    </w:p>
    <w:p w14:paraId="499FF332" w14:textId="77777777" w:rsidR="00063374" w:rsidRPr="00063374" w:rsidRDefault="00063374" w:rsidP="00063374">
      <w:r w:rsidRPr="00063374">
        <w:t xml:space="preserve"> </w:t>
      </w:r>
    </w:p>
    <w:p w14:paraId="1841B064" w14:textId="77777777" w:rsidR="00063374" w:rsidRPr="00063374" w:rsidRDefault="00063374" w:rsidP="00063374"/>
    <w:p w14:paraId="0110F03C" w14:textId="18E7812F" w:rsidR="00E25DC0" w:rsidRDefault="00E25DC0">
      <w:r>
        <w:br w:type="page"/>
      </w:r>
    </w:p>
    <w:p w14:paraId="03C2A8B8" w14:textId="34C7272B" w:rsidR="00063374" w:rsidRPr="00063374" w:rsidRDefault="00063374" w:rsidP="00063374">
      <w:pPr>
        <w:pStyle w:val="Overskrift1"/>
      </w:pPr>
      <w:r>
        <w:lastRenderedPageBreak/>
        <w:t xml:space="preserve">1. </w:t>
      </w:r>
      <w:r w:rsidRPr="00063374">
        <w:t>FORMÅL</w:t>
      </w:r>
    </w:p>
    <w:p w14:paraId="5DCF54D6" w14:textId="2F592AF4" w:rsidR="00063374" w:rsidRPr="00063374" w:rsidRDefault="00063374" w:rsidP="00063374">
      <w:pPr>
        <w:pStyle w:val="Listeafsnit"/>
        <w:numPr>
          <w:ilvl w:val="1"/>
          <w:numId w:val="2"/>
        </w:numPr>
        <w:spacing w:line="276" w:lineRule="auto"/>
      </w:pPr>
      <w:r w:rsidRPr="00063374">
        <w:t xml:space="preserve">Virksomheden ønsker at få rettigheden til kildeteksterne og </w:t>
      </w:r>
      <w:r>
        <w:t xml:space="preserve">til </w:t>
      </w:r>
      <w:r w:rsidRPr="00063374">
        <w:t xml:space="preserve">databaserne til Power Market Simulator med henblik på selv at kunne videreudvikle modellen og indlæse nye data. </w:t>
      </w:r>
    </w:p>
    <w:p w14:paraId="048ABB98" w14:textId="77777777" w:rsidR="00063374" w:rsidRPr="00063374" w:rsidRDefault="00063374" w:rsidP="00063374">
      <w:pPr>
        <w:pStyle w:val="Listeafsnit"/>
        <w:numPr>
          <w:ilvl w:val="1"/>
          <w:numId w:val="2"/>
        </w:numPr>
        <w:spacing w:line="276" w:lineRule="auto"/>
      </w:pPr>
      <w:r w:rsidRPr="00063374">
        <w:t>Ejer er interesseret i at udbrede kendskabet til Power Market Simulator og få andre involveret i videreudvikling af modellen.</w:t>
      </w:r>
    </w:p>
    <w:p w14:paraId="714A7A0B" w14:textId="34C56B81" w:rsidR="006D7658" w:rsidRPr="006D7658" w:rsidRDefault="00063374" w:rsidP="006D7658">
      <w:pPr>
        <w:pStyle w:val="Listeafsnit"/>
        <w:numPr>
          <w:ilvl w:val="1"/>
          <w:numId w:val="2"/>
        </w:numPr>
        <w:spacing w:line="276" w:lineRule="auto"/>
      </w:pPr>
      <w:r w:rsidRPr="00063374">
        <w:t>Ejer og Virksomheden er interesseret i at samarbejde omkring videreudvikling af Power Market Simulator.</w:t>
      </w:r>
    </w:p>
    <w:p w14:paraId="158AE645" w14:textId="618E9971" w:rsidR="006D7658" w:rsidRPr="006D7658" w:rsidRDefault="00063374" w:rsidP="006D7658">
      <w:pPr>
        <w:pStyle w:val="Overskrift1"/>
      </w:pPr>
      <w:r>
        <w:t xml:space="preserve">2. </w:t>
      </w:r>
      <w:r w:rsidRPr="00063374">
        <w:t>ØKONOMI</w:t>
      </w:r>
    </w:p>
    <w:p w14:paraId="5270C372" w14:textId="394092C4" w:rsidR="00063374" w:rsidRPr="002262DE" w:rsidRDefault="00063374" w:rsidP="00063374">
      <w:r>
        <w:t xml:space="preserve">2.1 </w:t>
      </w:r>
      <w:r w:rsidRPr="00063374">
        <w:t>Virksomheden betaler Ejer x DDK for rettigheden til Power Market Simulator.</w:t>
      </w:r>
      <w:r w:rsidR="002262DE">
        <w:t xml:space="preserve"> Betalingen sker </w:t>
      </w:r>
      <w:r w:rsidR="00BE69F0">
        <w:t>når</w:t>
      </w:r>
      <w:r w:rsidR="002262DE">
        <w:t xml:space="preserve"> Power Market Simulator er installeret hos Virksomheden, og modellen er bragt til at køre.</w:t>
      </w:r>
    </w:p>
    <w:p w14:paraId="1F8EC417" w14:textId="40AB258D" w:rsidR="00063374" w:rsidRDefault="00063374" w:rsidP="00063374">
      <w:r>
        <w:t>2.2</w:t>
      </w:r>
      <w:r w:rsidRPr="00063374">
        <w:t xml:space="preserve"> Parterne kan købe nyudviklede funktioner og data hos hinanden. Prisen fastlægges ad. </w:t>
      </w:r>
      <w:r w:rsidR="00E14FB2">
        <w:t>h</w:t>
      </w:r>
      <w:r w:rsidRPr="00063374">
        <w:t>oc.</w:t>
      </w:r>
    </w:p>
    <w:p w14:paraId="41111F89" w14:textId="77777777" w:rsidR="006D7658" w:rsidRPr="006D7658" w:rsidRDefault="006D7658" w:rsidP="00063374"/>
    <w:p w14:paraId="3FCCCC9F" w14:textId="5DF30BB5" w:rsidR="00063374" w:rsidRPr="00063374" w:rsidRDefault="00063374" w:rsidP="00063374">
      <w:pPr>
        <w:pStyle w:val="Overskrift1"/>
      </w:pPr>
      <w:r>
        <w:t xml:space="preserve">3. </w:t>
      </w:r>
      <w:r w:rsidRPr="00063374">
        <w:t>OVERDRAGELSE AF RETTIGHEDER</w:t>
      </w:r>
    </w:p>
    <w:p w14:paraId="3AF1D362" w14:textId="725C9AEE" w:rsidR="00063374" w:rsidRPr="00063374" w:rsidRDefault="00063374" w:rsidP="006D7658">
      <w:r>
        <w:t xml:space="preserve">3.1 </w:t>
      </w:r>
      <w:r w:rsidRPr="006D7658">
        <w:t>Virksomheden har ret til at udvikle og bruge egne udgaver af Power Market Simulator. Der skal gøres opmærksom på, at det er virksomhedens version, der anvendes. Versionen får navnet PMS</w:t>
      </w:r>
      <w:r w:rsidR="005B520A">
        <w:t>-</w:t>
      </w:r>
      <w:r w:rsidRPr="006D7658">
        <w:t>(Virksomhedens navn).</w:t>
      </w:r>
    </w:p>
    <w:p w14:paraId="7EDD3F60" w14:textId="36753601" w:rsidR="00063374" w:rsidRDefault="00063374" w:rsidP="00063374">
      <w:r>
        <w:t xml:space="preserve">3.2 </w:t>
      </w:r>
      <w:r w:rsidRPr="00063374">
        <w:t>Ejers version hedder PMS-Strategirummet.</w:t>
      </w:r>
    </w:p>
    <w:p w14:paraId="5FCE5416" w14:textId="77777777" w:rsidR="00E25DC0" w:rsidRDefault="00063374" w:rsidP="00063374">
      <w:r>
        <w:t xml:space="preserve">3.3 </w:t>
      </w:r>
      <w:r w:rsidRPr="00063374">
        <w:t>Virksomheden kan frit bruge egn</w:t>
      </w:r>
      <w:r w:rsidR="00E25DC0">
        <w:t>e</w:t>
      </w:r>
      <w:r w:rsidRPr="00063374">
        <w:t xml:space="preserve"> version</w:t>
      </w:r>
      <w:r w:rsidR="00E25DC0">
        <w:t>er</w:t>
      </w:r>
      <w:r w:rsidRPr="00063374">
        <w:t xml:space="preserve"> internt og overfor kunder, som virksomheden rådgiver. </w:t>
      </w:r>
    </w:p>
    <w:p w14:paraId="200835A6" w14:textId="74D51D47" w:rsidR="00063374" w:rsidRDefault="006D7658" w:rsidP="006D7658">
      <w:r>
        <w:t xml:space="preserve">3.4 </w:t>
      </w:r>
      <w:r w:rsidR="00063374" w:rsidRPr="006D7658">
        <w:t xml:space="preserve">Virksomheden må ikke overdrage </w:t>
      </w:r>
      <w:r w:rsidR="005B520A">
        <w:t>PMS-</w:t>
      </w:r>
      <w:r w:rsidR="00063374" w:rsidRPr="006D7658">
        <w:t>kildetekster til tredjemand. Virksomheden må ikke sælge licenser til Power Market Simulator.</w:t>
      </w:r>
    </w:p>
    <w:p w14:paraId="474F1736" w14:textId="77777777" w:rsidR="006D7658" w:rsidRPr="006D7658" w:rsidRDefault="006D7658" w:rsidP="006D7658"/>
    <w:p w14:paraId="4FC22576" w14:textId="5A9D61A3" w:rsidR="00063374" w:rsidRPr="00063374" w:rsidRDefault="00063374" w:rsidP="00063374">
      <w:pPr>
        <w:pStyle w:val="Overskrift1"/>
      </w:pPr>
      <w:r>
        <w:t xml:space="preserve">4. </w:t>
      </w:r>
      <w:r w:rsidRPr="00063374">
        <w:t>RAPPORTERING</w:t>
      </w:r>
    </w:p>
    <w:p w14:paraId="45132A5D" w14:textId="36A16589" w:rsidR="00063374" w:rsidRDefault="00063374" w:rsidP="00063374">
      <w:r>
        <w:t xml:space="preserve">4.1 </w:t>
      </w:r>
      <w:r w:rsidRPr="00063374">
        <w:t xml:space="preserve">Parterne holder hinanden orienteret om erfaringer med brug af Power Market Simulator og </w:t>
      </w:r>
      <w:r>
        <w:t xml:space="preserve">Parternes </w:t>
      </w:r>
      <w:r w:rsidRPr="00063374">
        <w:t>udviklingsaktiviteter.</w:t>
      </w:r>
    </w:p>
    <w:p w14:paraId="19FDFA60" w14:textId="77777777" w:rsidR="006D7658" w:rsidRPr="006D7658" w:rsidRDefault="006D7658" w:rsidP="00063374"/>
    <w:p w14:paraId="255F2F53" w14:textId="2FA27C3C" w:rsidR="00063374" w:rsidRPr="00063374" w:rsidRDefault="00063374" w:rsidP="00063374">
      <w:pPr>
        <w:pStyle w:val="Overskrift1"/>
      </w:pPr>
      <w:r>
        <w:t xml:space="preserve">5. </w:t>
      </w:r>
      <w:r w:rsidRPr="00063374">
        <w:t>DOMÆNENAVNE</w:t>
      </w:r>
    </w:p>
    <w:p w14:paraId="35EABA69" w14:textId="211ECB7B" w:rsidR="00063374" w:rsidRDefault="00063374" w:rsidP="00063374">
      <w:r>
        <w:t xml:space="preserve">5.1 </w:t>
      </w:r>
      <w:r w:rsidRPr="00063374">
        <w:t xml:space="preserve">Domænenavnene Power Market Simulator peget på en hjemmeside, hvor der er links til de forskellige versioner af Power Market Simulator. </w:t>
      </w:r>
      <w:r w:rsidR="005B520A">
        <w:t xml:space="preserve">Her etableres der også link til Virksomhedens version. </w:t>
      </w:r>
      <w:r w:rsidRPr="00063374">
        <w:t>Ejer vedligeholder denne hjemmeside.</w:t>
      </w:r>
    </w:p>
    <w:p w14:paraId="68927D7A" w14:textId="77777777" w:rsidR="006D7658" w:rsidRPr="006D7658" w:rsidRDefault="006D7658" w:rsidP="00063374"/>
    <w:p w14:paraId="08FE1268" w14:textId="52856886" w:rsidR="00063374" w:rsidRPr="00063374" w:rsidRDefault="00063374" w:rsidP="00063374">
      <w:pPr>
        <w:pStyle w:val="Overskrift1"/>
      </w:pPr>
      <w:r>
        <w:lastRenderedPageBreak/>
        <w:t xml:space="preserve">6. </w:t>
      </w:r>
      <w:r w:rsidRPr="00063374">
        <w:t>UDSTYR</w:t>
      </w:r>
    </w:p>
    <w:p w14:paraId="3AB3DD39" w14:textId="764F96D7" w:rsidR="00063374" w:rsidRPr="00E25DC0" w:rsidRDefault="00063374" w:rsidP="00E25DC0">
      <w:r>
        <w:t>6.1</w:t>
      </w:r>
      <w:r w:rsidR="00E25DC0">
        <w:t xml:space="preserve"> </w:t>
      </w:r>
      <w:r w:rsidRPr="00E25DC0">
        <w:t>Med overdragelsen af rettighederne følger en kopi af alle kildetekster til Power Market Simulator</w:t>
      </w:r>
      <w:r w:rsidR="005B520A">
        <w:t>, hjælpeprogrammer</w:t>
      </w:r>
      <w:r w:rsidRPr="00E25DC0">
        <w:t xml:space="preserve"> samt databaser.</w:t>
      </w:r>
    </w:p>
    <w:p w14:paraId="213AA921" w14:textId="4E9DBC1F" w:rsidR="00063374" w:rsidRPr="00063374" w:rsidRDefault="00063374" w:rsidP="00063374">
      <w:r>
        <w:t xml:space="preserve">6.2 </w:t>
      </w:r>
      <w:r w:rsidR="006D7658">
        <w:t xml:space="preserve">I forbindelse </w:t>
      </w:r>
      <w:r w:rsidR="002262DE">
        <w:t xml:space="preserve">med overdragelsen sikrer </w:t>
      </w:r>
      <w:r w:rsidRPr="00063374">
        <w:t>Ejer, at Power Market Simulator kan køre hos Virksomheden.</w:t>
      </w:r>
    </w:p>
    <w:p w14:paraId="09B80423" w14:textId="5518BA8D" w:rsidR="00063374" w:rsidRDefault="00E25DC0" w:rsidP="00E25DC0">
      <w:r>
        <w:t xml:space="preserve">6.3 </w:t>
      </w:r>
      <w:r w:rsidR="00063374" w:rsidRPr="00E25DC0">
        <w:t xml:space="preserve">Ejer introducerer relevante medarbejdere i Virksomheden til kildeteksterne og til databasen. Det sker vederlagsfrit inden for en ramme på 30 timer. </w:t>
      </w:r>
    </w:p>
    <w:p w14:paraId="3337BC0F" w14:textId="77777777" w:rsidR="00063374" w:rsidRPr="00063374" w:rsidRDefault="00063374" w:rsidP="00063374"/>
    <w:p w14:paraId="738371E0" w14:textId="03EB6B9E" w:rsidR="00063374" w:rsidRPr="00063374" w:rsidRDefault="00E25DC0" w:rsidP="00E25DC0">
      <w:pPr>
        <w:pStyle w:val="Overskrift1"/>
      </w:pPr>
      <w:r>
        <w:t xml:space="preserve">7. </w:t>
      </w:r>
      <w:r w:rsidR="00063374" w:rsidRPr="00063374">
        <w:t>HEMMELIGHOLDELSE</w:t>
      </w:r>
    </w:p>
    <w:p w14:paraId="70E97D70" w14:textId="52B1BDD9" w:rsidR="00063374" w:rsidRPr="00E25DC0" w:rsidRDefault="00E25DC0" w:rsidP="00E25DC0">
      <w:r>
        <w:t xml:space="preserve">7.1 </w:t>
      </w:r>
      <w:r w:rsidR="00063374" w:rsidRPr="00E25DC0">
        <w:t xml:space="preserve">Viden (herunder kildetekster), som en Part modtager fra den anden Part i forbindelse med </w:t>
      </w:r>
      <w:r w:rsidR="002262DE">
        <w:t xml:space="preserve">overdragelsen og </w:t>
      </w:r>
      <w:r w:rsidR="00063374" w:rsidRPr="00E25DC0">
        <w:t>samarbejdet, må ikke uden skriftligt samtykke fra den anden Part videregives til andre.</w:t>
      </w:r>
      <w:r w:rsidR="005B520A">
        <w:t xml:space="preserve"> Virksomheden må ikke videregive kildetekster til tredjemand.</w:t>
      </w:r>
    </w:p>
    <w:p w14:paraId="6B9EF63F" w14:textId="77777777" w:rsidR="00E25DC0" w:rsidRDefault="00E25DC0" w:rsidP="00E25DC0">
      <w:r>
        <w:t xml:space="preserve">7.2 </w:t>
      </w:r>
      <w:r w:rsidR="00063374" w:rsidRPr="00E25DC0">
        <w:t xml:space="preserve">En Parts hemmeligholdelsespligt omfatter ikke viden, </w:t>
      </w:r>
    </w:p>
    <w:p w14:paraId="5DFB1BAD" w14:textId="0561ACEB" w:rsidR="00E25DC0" w:rsidRDefault="00063374" w:rsidP="00E25DC0">
      <w:pPr>
        <w:pStyle w:val="Listeafsnit"/>
        <w:numPr>
          <w:ilvl w:val="0"/>
          <w:numId w:val="13"/>
        </w:numPr>
      </w:pPr>
      <w:r w:rsidRPr="00E25DC0">
        <w:t>som</w:t>
      </w:r>
      <w:r>
        <w:t xml:space="preserve"> </w:t>
      </w:r>
      <w:r w:rsidRPr="00E25DC0">
        <w:t>ved modtagelsen allerede var offentliggjort eller på anden måde tilgængelig for offentligheden</w:t>
      </w:r>
    </w:p>
    <w:p w14:paraId="5CFE1FC6" w14:textId="77777777" w:rsidR="00E25DC0" w:rsidRDefault="00063374" w:rsidP="00E25DC0">
      <w:pPr>
        <w:pStyle w:val="Listeafsnit"/>
        <w:numPr>
          <w:ilvl w:val="0"/>
          <w:numId w:val="13"/>
        </w:numPr>
      </w:pPr>
      <w:r w:rsidRPr="00E25DC0">
        <w:t>efter modtagelsen er blevet offentliggjort eller blevet tilgængelig for offentligheden på anden måde end ved tilsidesættelse af hemmeligholdelsesforpligtelsen</w:t>
      </w:r>
    </w:p>
    <w:p w14:paraId="5C79281D" w14:textId="4C231FBF" w:rsidR="002262DE" w:rsidRDefault="00063374" w:rsidP="00E25DC0">
      <w:pPr>
        <w:pStyle w:val="Listeafsnit"/>
        <w:numPr>
          <w:ilvl w:val="0"/>
          <w:numId w:val="13"/>
        </w:numPr>
      </w:pPr>
      <w:r w:rsidRPr="00E25DC0">
        <w:t>allerede på modtagelsestidspunktet var i modtagerens retmæssige besiddelse uden restriktioner,</w:t>
      </w:r>
      <w:r>
        <w:t xml:space="preserve"> </w:t>
      </w:r>
      <w:r w:rsidRPr="00E25DC0">
        <w:t>en Part selv har udvlklet uafhængigt af den anden Par</w:t>
      </w:r>
      <w:r w:rsidR="002262DE">
        <w:t>t</w:t>
      </w:r>
    </w:p>
    <w:p w14:paraId="7A10F207" w14:textId="77777777" w:rsidR="002262DE" w:rsidRDefault="002262DE" w:rsidP="002262DE">
      <w:pPr>
        <w:pStyle w:val="Listeafsnit"/>
      </w:pPr>
    </w:p>
    <w:p w14:paraId="06E27EBE" w14:textId="02DFBD98" w:rsidR="00063374" w:rsidRPr="00063374" w:rsidRDefault="00E25DC0" w:rsidP="00E25DC0">
      <w:pPr>
        <w:pStyle w:val="Overskrift1"/>
      </w:pPr>
      <w:r>
        <w:t xml:space="preserve">8. </w:t>
      </w:r>
      <w:r w:rsidR="00063374" w:rsidRPr="00063374">
        <w:t>MISLIGHOLDELSE</w:t>
      </w:r>
    </w:p>
    <w:p w14:paraId="35F0D040" w14:textId="6160D3E3" w:rsidR="00063374" w:rsidRPr="00E25DC0" w:rsidRDefault="00E25DC0" w:rsidP="00E25DC0">
      <w:r>
        <w:t xml:space="preserve">8.1 </w:t>
      </w:r>
      <w:r w:rsidR="00063374" w:rsidRPr="00E25DC0">
        <w:t xml:space="preserve">I tilfælde af Virksomhedens væsentlige eller gentagne misligholdelse af sine forpligtelser efter Aftalen, kan Ejer hæve Aftalen, </w:t>
      </w:r>
      <w:r w:rsidR="002262DE">
        <w:t xml:space="preserve">hvis </w:t>
      </w:r>
      <w:r w:rsidR="00063374" w:rsidRPr="00E25DC0">
        <w:t xml:space="preserve">misligholdelsen er blevet påtalt over for </w:t>
      </w:r>
      <w:r w:rsidR="002262DE">
        <w:t xml:space="preserve">Virksomheden </w:t>
      </w:r>
      <w:r w:rsidR="00063374" w:rsidRPr="00E25DC0">
        <w:t xml:space="preserve">med opfordring til inden 30 dage at bringe misligholdelsen til ophør, og dette ikke er sket </w:t>
      </w:r>
      <w:r w:rsidR="002262DE">
        <w:t>i</w:t>
      </w:r>
      <w:r w:rsidR="00063374" w:rsidRPr="00E25DC0">
        <w:t>nden udløbet af den nævnte frist.</w:t>
      </w:r>
    </w:p>
    <w:p w14:paraId="5BE30CC5" w14:textId="3E824D3B" w:rsidR="00063374" w:rsidRDefault="00E25DC0" w:rsidP="00E25DC0">
      <w:r>
        <w:t xml:space="preserve">8.2 </w:t>
      </w:r>
      <w:r w:rsidR="002262DE">
        <w:t>Hvis</w:t>
      </w:r>
      <w:r w:rsidR="00063374" w:rsidRPr="00E25DC0">
        <w:t xml:space="preserve"> Aftalen ophæves, skal Virksomheden slette alle sine versioner af Power Market Simulator, og Virksomheden må ikke længere anvende modellen. </w:t>
      </w:r>
    </w:p>
    <w:p w14:paraId="43DE0AD5" w14:textId="77777777" w:rsidR="002262DE" w:rsidRPr="002262DE" w:rsidRDefault="002262DE" w:rsidP="00E25DC0"/>
    <w:p w14:paraId="013922BA" w14:textId="7D3D9FE5" w:rsidR="00063374" w:rsidRPr="00063374" w:rsidRDefault="00E25DC0" w:rsidP="00E25DC0">
      <w:pPr>
        <w:pStyle w:val="Overskrift1"/>
      </w:pPr>
      <w:r>
        <w:t xml:space="preserve">9. </w:t>
      </w:r>
      <w:r w:rsidR="00063374" w:rsidRPr="00063374">
        <w:t>ERSTATNINGSANSVAR</w:t>
      </w:r>
    </w:p>
    <w:p w14:paraId="07F5EDCD" w14:textId="52F5F86C" w:rsidR="00063374" w:rsidRPr="00E25DC0" w:rsidRDefault="00E25DC0" w:rsidP="00E25DC0">
      <w:r>
        <w:t xml:space="preserve">9.1 </w:t>
      </w:r>
      <w:r w:rsidR="00063374" w:rsidRPr="00E25DC0">
        <w:t>Ejer indestår ikke for og kan ikke gøres ansvarlige for, de fejl o</w:t>
      </w:r>
      <w:r w:rsidR="002262DE">
        <w:t>g</w:t>
      </w:r>
      <w:r w:rsidR="00063374" w:rsidRPr="00E25DC0">
        <w:t xml:space="preserve"> mangler, der eventuelt måtte være i Power Market Simulator med tilhørende databaser. </w:t>
      </w:r>
    </w:p>
    <w:p w14:paraId="00B075BE" w14:textId="7EF51112" w:rsidR="00063374" w:rsidRPr="00E25DC0" w:rsidRDefault="00E25DC0" w:rsidP="00E25DC0">
      <w:r>
        <w:t xml:space="preserve">9.2 </w:t>
      </w:r>
      <w:r w:rsidR="00063374" w:rsidRPr="00E25DC0">
        <w:t>Parterne er erstatningsansvarlige overfor hinanden efter dansk rets almindelige regler. Udenfor tilfælde af grov uagtsomhed og forsæt er Parterne ikke ansvarlige for driftstab, avancetab, følgeskader eller andet indirekte tab.</w:t>
      </w:r>
    </w:p>
    <w:p w14:paraId="103F2974" w14:textId="5920B1D0" w:rsidR="00063374" w:rsidRDefault="00E25DC0" w:rsidP="00E25DC0">
      <w:r>
        <w:lastRenderedPageBreak/>
        <w:t xml:space="preserve">9.3 </w:t>
      </w:r>
      <w:r w:rsidR="00063374" w:rsidRPr="00E25DC0">
        <w:t>Udenfor tilfælde af grov uagtsomhed eller forsæt indestår Ejer ikke for korrektheden, anvendeligheden el.lign., af den overførte version af Power Market Simulator, som stilles til rådighed for Virksomheden.</w:t>
      </w:r>
    </w:p>
    <w:p w14:paraId="6DD2C5D2" w14:textId="77777777" w:rsidR="002262DE" w:rsidRPr="002262DE" w:rsidRDefault="002262DE" w:rsidP="00E25DC0"/>
    <w:p w14:paraId="62261151" w14:textId="0B00497A" w:rsidR="00063374" w:rsidRPr="002262DE" w:rsidRDefault="00E25DC0" w:rsidP="00E25DC0">
      <w:pPr>
        <w:pStyle w:val="Overskrift1"/>
      </w:pPr>
      <w:r>
        <w:t xml:space="preserve">10. </w:t>
      </w:r>
      <w:r w:rsidR="00063374" w:rsidRPr="00063374">
        <w:t xml:space="preserve">OFFENTLIGHED OM </w:t>
      </w:r>
      <w:r w:rsidR="002262DE">
        <w:t>POWER MARKET SIMULATOR</w:t>
      </w:r>
    </w:p>
    <w:p w14:paraId="544A647F" w14:textId="45FC8855" w:rsidR="00063374" w:rsidRDefault="00E25DC0" w:rsidP="00E25DC0">
      <w:r>
        <w:t xml:space="preserve">10.1 </w:t>
      </w:r>
      <w:r w:rsidR="00063374" w:rsidRPr="00E25DC0">
        <w:t>Ejer og Virksomheden må ikke uden skriftlig tilladelse fra den anden Part direkte eller indirekte henvise til hinanden i forbindelse med markedsføring af Ejers og Virksomhedens produkter eller i øvrigt udnytte hinandens navn i kommercielt øjemed.</w:t>
      </w:r>
    </w:p>
    <w:p w14:paraId="61DAC09A" w14:textId="77777777" w:rsidR="002262DE" w:rsidRPr="002262DE" w:rsidRDefault="002262DE" w:rsidP="00E25DC0"/>
    <w:p w14:paraId="42E1CD75" w14:textId="3B098C26" w:rsidR="00063374" w:rsidRDefault="00E25DC0" w:rsidP="00E25DC0">
      <w:pPr>
        <w:pStyle w:val="Overskrift1"/>
      </w:pPr>
      <w:r>
        <w:t xml:space="preserve">11. </w:t>
      </w:r>
      <w:r w:rsidR="00063374" w:rsidRPr="00063374">
        <w:t>ÆNDRING AF AFTALEN</w:t>
      </w:r>
    </w:p>
    <w:p w14:paraId="13F22A12" w14:textId="1399F1E4" w:rsidR="00063374" w:rsidRDefault="00E25DC0" w:rsidP="00E25DC0">
      <w:r>
        <w:t xml:space="preserve">11.1 </w:t>
      </w:r>
      <w:r w:rsidR="00063374" w:rsidRPr="00E25DC0">
        <w:t>Ændringer af Aftalen skal være skriftlige og være underskrevet af begge Parter.</w:t>
      </w:r>
    </w:p>
    <w:p w14:paraId="655356BC" w14:textId="77777777" w:rsidR="002262DE" w:rsidRPr="002262DE" w:rsidRDefault="002262DE" w:rsidP="00E25DC0"/>
    <w:p w14:paraId="6843244B" w14:textId="13323211" w:rsidR="00063374" w:rsidRPr="00063374" w:rsidRDefault="00E25DC0" w:rsidP="00E25DC0">
      <w:pPr>
        <w:pStyle w:val="Overskrift1"/>
      </w:pPr>
      <w:r>
        <w:t xml:space="preserve">12. </w:t>
      </w:r>
      <w:r w:rsidR="00063374" w:rsidRPr="00063374">
        <w:t>VARIGHED OG OPSIGELSE</w:t>
      </w:r>
    </w:p>
    <w:p w14:paraId="2EFA3E1E" w14:textId="4EFB2CD0" w:rsidR="00CE09C1" w:rsidRDefault="00E25DC0" w:rsidP="00E25DC0">
      <w:r>
        <w:t xml:space="preserve">12.1 </w:t>
      </w:r>
      <w:r w:rsidR="00063374" w:rsidRPr="00E25DC0">
        <w:t>Aftalen træder i kraft ved Parternes underskrivelse, og ophører kun ved mislighold</w:t>
      </w:r>
    </w:p>
    <w:p w14:paraId="529B186A" w14:textId="77777777" w:rsidR="002262DE" w:rsidRDefault="002262DE" w:rsidP="00E25DC0"/>
    <w:p w14:paraId="7F9C6D39" w14:textId="7ECBE013" w:rsidR="002262DE" w:rsidRDefault="002262DE" w:rsidP="002262DE">
      <w:pPr>
        <w:pStyle w:val="Overskrift1"/>
      </w:pPr>
      <w:r>
        <w:t>13. UNDERSKRIFT</w:t>
      </w:r>
    </w:p>
    <w:p w14:paraId="4A9BB36F" w14:textId="77777777" w:rsidR="00BD4C87" w:rsidRPr="00BD4C87" w:rsidRDefault="00BD4C87" w:rsidP="00BD4C87"/>
    <w:sectPr w:rsidR="00BD4C87" w:rsidRPr="00BD4C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551F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A65102"/>
    <w:multiLevelType w:val="hybridMultilevel"/>
    <w:tmpl w:val="E384F0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2F58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CB6F5E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7B3C68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B956D5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634BFA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F9173A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92064A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4813F1"/>
    <w:multiLevelType w:val="hybridMultilevel"/>
    <w:tmpl w:val="780834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226BC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6B0CC2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9C0A15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E0741C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4A4C9B"/>
    <w:multiLevelType w:val="hybridMultilevel"/>
    <w:tmpl w:val="4BFED3F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FE2447"/>
    <w:multiLevelType w:val="hybridMultilevel"/>
    <w:tmpl w:val="BD166D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B0311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28110F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751069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374F71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732960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761C5E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9C710D3"/>
    <w:multiLevelType w:val="hybridMultilevel"/>
    <w:tmpl w:val="3A02C4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83755"/>
    <w:multiLevelType w:val="multilevel"/>
    <w:tmpl w:val="B0B23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68423247">
    <w:abstractNumId w:val="22"/>
  </w:num>
  <w:num w:numId="2" w16cid:durableId="1201935763">
    <w:abstractNumId w:val="19"/>
  </w:num>
  <w:num w:numId="3" w16cid:durableId="725494858">
    <w:abstractNumId w:val="12"/>
  </w:num>
  <w:num w:numId="4" w16cid:durableId="2072339247">
    <w:abstractNumId w:val="16"/>
  </w:num>
  <w:num w:numId="5" w16cid:durableId="491263347">
    <w:abstractNumId w:val="3"/>
  </w:num>
  <w:num w:numId="6" w16cid:durableId="1055736642">
    <w:abstractNumId w:val="23"/>
  </w:num>
  <w:num w:numId="7" w16cid:durableId="925698120">
    <w:abstractNumId w:val="17"/>
  </w:num>
  <w:num w:numId="8" w16cid:durableId="1110078912">
    <w:abstractNumId w:val="6"/>
  </w:num>
  <w:num w:numId="9" w16cid:durableId="681246919">
    <w:abstractNumId w:val="0"/>
  </w:num>
  <w:num w:numId="10" w16cid:durableId="1991984229">
    <w:abstractNumId w:val="7"/>
  </w:num>
  <w:num w:numId="11" w16cid:durableId="276258861">
    <w:abstractNumId w:val="21"/>
  </w:num>
  <w:num w:numId="12" w16cid:durableId="2099521197">
    <w:abstractNumId w:val="20"/>
  </w:num>
  <w:num w:numId="13" w16cid:durableId="879517394">
    <w:abstractNumId w:val="15"/>
  </w:num>
  <w:num w:numId="14" w16cid:durableId="543492887">
    <w:abstractNumId w:val="2"/>
  </w:num>
  <w:num w:numId="15" w16cid:durableId="1224219183">
    <w:abstractNumId w:val="8"/>
  </w:num>
  <w:num w:numId="16" w16cid:durableId="1112437539">
    <w:abstractNumId w:val="13"/>
  </w:num>
  <w:num w:numId="17" w16cid:durableId="1556425800">
    <w:abstractNumId w:val="4"/>
  </w:num>
  <w:num w:numId="18" w16cid:durableId="81220953">
    <w:abstractNumId w:val="18"/>
  </w:num>
  <w:num w:numId="19" w16cid:durableId="121388403">
    <w:abstractNumId w:val="10"/>
  </w:num>
  <w:num w:numId="20" w16cid:durableId="1166356557">
    <w:abstractNumId w:val="11"/>
  </w:num>
  <w:num w:numId="21" w16cid:durableId="487286650">
    <w:abstractNumId w:val="5"/>
  </w:num>
  <w:num w:numId="22" w16cid:durableId="114300616">
    <w:abstractNumId w:val="9"/>
  </w:num>
  <w:num w:numId="23" w16cid:durableId="666590827">
    <w:abstractNumId w:val="1"/>
  </w:num>
  <w:num w:numId="24" w16cid:durableId="114183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74"/>
    <w:rsid w:val="00060886"/>
    <w:rsid w:val="00063374"/>
    <w:rsid w:val="002262DE"/>
    <w:rsid w:val="00254EAB"/>
    <w:rsid w:val="003D1806"/>
    <w:rsid w:val="005B520A"/>
    <w:rsid w:val="006D7658"/>
    <w:rsid w:val="00BD4C87"/>
    <w:rsid w:val="00BE69F0"/>
    <w:rsid w:val="00CE09C1"/>
    <w:rsid w:val="00E14FB2"/>
    <w:rsid w:val="00E2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5681"/>
  <w15:chartTrackingRefBased/>
  <w15:docId w15:val="{4AF49AA4-F01B-419D-9D8D-E3D2F5A6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3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3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3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3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3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3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3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3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3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3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3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33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33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33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33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33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33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3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3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3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33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337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337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3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337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3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662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</dc:creator>
  <cp:keywords/>
  <dc:description/>
  <cp:lastModifiedBy>Flemming</cp:lastModifiedBy>
  <cp:revision>4</cp:revision>
  <dcterms:created xsi:type="dcterms:W3CDTF">2024-05-27T09:21:00Z</dcterms:created>
  <dcterms:modified xsi:type="dcterms:W3CDTF">2024-05-30T13:49:00Z</dcterms:modified>
</cp:coreProperties>
</file>